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DCA" w:rsidRDefault="00AD7DCA" w:rsidP="00AD7DCA">
      <w:pPr>
        <w:spacing w:before="100" w:beforeAutospacing="1" w:after="100" w:afterAutospacing="1" w:line="240" w:lineRule="auto"/>
        <w:outlineLvl w:val="0"/>
        <w:rPr>
          <w:rFonts w:ascii="Verdana" w:eastAsia="Times New Roman" w:hAnsi="Verdana" w:cs="Times New Roman"/>
          <w:b/>
          <w:bCs/>
          <w:caps/>
          <w:color w:val="922C83"/>
          <w:kern w:val="36"/>
          <w:sz w:val="32"/>
          <w:szCs w:val="32"/>
          <w:lang w:eastAsia="fr-FR"/>
          <w14:ligatures w14:val="none"/>
        </w:rPr>
      </w:pPr>
      <w:r>
        <w:rPr>
          <w:rFonts w:ascii="Verdana" w:eastAsia="Times New Roman" w:hAnsi="Verdana" w:cs="Times New Roman"/>
          <w:b/>
          <w:bCs/>
          <w:caps/>
          <w:color w:val="922C83"/>
          <w:kern w:val="36"/>
          <w:sz w:val="32"/>
          <w:szCs w:val="32"/>
          <w:lang w:eastAsia="fr-FR"/>
          <w14:ligatures w14:val="none"/>
        </w:rPr>
        <w:t>REGARDS CROISES</w:t>
      </w:r>
    </w:p>
    <w:p w:rsidR="00AD7DCA" w:rsidRPr="00C369EB" w:rsidRDefault="00AD7DCA" w:rsidP="00AD7DCA">
      <w:pPr>
        <w:spacing w:before="100" w:beforeAutospacing="1" w:after="100" w:afterAutospacing="1" w:line="240" w:lineRule="auto"/>
        <w:outlineLvl w:val="0"/>
        <w:rPr>
          <w:rFonts w:ascii="Verdana" w:eastAsia="Times New Roman" w:hAnsi="Verdana" w:cs="Times New Roman"/>
          <w:b/>
          <w:bCs/>
          <w:caps/>
          <w:color w:val="922C83"/>
          <w:kern w:val="36"/>
          <w:sz w:val="32"/>
          <w:szCs w:val="32"/>
          <w:lang w:eastAsia="fr-FR"/>
          <w14:ligatures w14:val="none"/>
        </w:rPr>
      </w:pPr>
      <w:r>
        <w:rPr>
          <w:rFonts w:ascii="Verdana" w:eastAsia="Times New Roman" w:hAnsi="Verdana" w:cs="Times New Roman"/>
          <w:b/>
          <w:bCs/>
          <w:caps/>
          <w:color w:val="922C83"/>
          <w:kern w:val="36"/>
          <w:sz w:val="32"/>
          <w:szCs w:val="32"/>
          <w:lang w:eastAsia="fr-FR"/>
          <w14:ligatures w14:val="none"/>
        </w:rPr>
        <w:t>LES ENJEUX DES DYNAMIQUES DE TERRITOIRES, DE L’EVOLUTION DES METIERS (ET METIERS EN TENSION) ET DE L’OFFRE DE FORMATION</w:t>
      </w:r>
    </w:p>
    <w:p w:rsidR="00AD7DCA" w:rsidRPr="00C369EB" w:rsidRDefault="00AD7DCA" w:rsidP="00AD7DC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C369EB">
        <w:rPr>
          <w:rFonts w:ascii="Verdana" w:eastAsia="Times New Roman" w:hAnsi="Verdana" w:cs="Times New Roman"/>
          <w:b/>
          <w:bCs/>
          <w:kern w:val="36"/>
          <w:lang w:eastAsia="fr-FR"/>
          <w14:ligatures w14:val="none"/>
        </w:rPr>
        <w:t xml:space="preserve">Intervenants : </w:t>
      </w:r>
    </w:p>
    <w:p w:rsidR="00AD7DCA" w:rsidRPr="00C369EB" w:rsidRDefault="00AD7DCA" w:rsidP="00AD7DCA">
      <w:pPr>
        <w:numPr>
          <w:ilvl w:val="0"/>
          <w:numId w:val="1"/>
        </w:numPr>
        <w:spacing w:after="0" w:line="240" w:lineRule="auto"/>
        <w:contextualSpacing/>
        <w:rPr>
          <w:rFonts w:ascii="Verdana" w:eastAsia="Times New Roman" w:hAnsi="Verdana" w:cs="Times New Roman"/>
          <w:kern w:val="0"/>
          <w:lang w:eastAsia="fr-FR"/>
          <w14:ligatures w14:val="none"/>
        </w:rPr>
      </w:pPr>
      <w:r>
        <w:rPr>
          <w:rFonts w:ascii="Verdana" w:eastAsia="Times New Roman" w:hAnsi="Verdana" w:cs="Arial"/>
          <w:b/>
          <w:bCs/>
          <w:kern w:val="0"/>
          <w:lang w:eastAsia="fr-FR"/>
          <w14:ligatures w14:val="none"/>
        </w:rPr>
        <w:t>Catherine BEAUVOIS</w:t>
      </w:r>
      <w:r w:rsidRPr="00C369EB">
        <w:rPr>
          <w:rFonts w:ascii="Verdana" w:eastAsia="Times New Roman" w:hAnsi="Verdana" w:cs="Arial"/>
          <w:b/>
          <w:bCs/>
          <w:kern w:val="0"/>
          <w:lang w:eastAsia="fr-FR"/>
          <w14:ligatures w14:val="none"/>
        </w:rPr>
        <w:t xml:space="preserve">, </w:t>
      </w:r>
      <w:r>
        <w:rPr>
          <w:rFonts w:ascii="Verdana" w:eastAsia="Times New Roman" w:hAnsi="Verdana" w:cs="Arial"/>
          <w:kern w:val="0"/>
          <w:lang w:eastAsia="fr-FR"/>
          <w14:ligatures w14:val="none"/>
        </w:rPr>
        <w:t>Directrice de projet à la direction générale de Pôle emploi</w:t>
      </w:r>
    </w:p>
    <w:p w:rsidR="00AD7DCA" w:rsidRPr="00C369EB" w:rsidRDefault="00AD7DCA" w:rsidP="00AD7DCA">
      <w:pPr>
        <w:numPr>
          <w:ilvl w:val="0"/>
          <w:numId w:val="1"/>
        </w:numPr>
        <w:spacing w:after="0" w:line="240" w:lineRule="auto"/>
        <w:contextualSpacing/>
        <w:rPr>
          <w:rFonts w:ascii="Verdana" w:eastAsia="Times New Roman" w:hAnsi="Verdana" w:cs="Arial"/>
          <w:kern w:val="0"/>
          <w:lang w:eastAsia="fr-FR"/>
          <w14:ligatures w14:val="none"/>
        </w:rPr>
      </w:pPr>
      <w:r>
        <w:rPr>
          <w:rFonts w:ascii="Verdana" w:eastAsia="Times New Roman" w:hAnsi="Verdana" w:cs="Arial"/>
          <w:b/>
          <w:bCs/>
          <w:kern w:val="0"/>
          <w:lang w:eastAsia="fr-FR"/>
          <w14:ligatures w14:val="none"/>
        </w:rPr>
        <w:t>Camille COUSIN</w:t>
      </w:r>
      <w:r w:rsidRPr="00C369EB">
        <w:rPr>
          <w:rFonts w:ascii="Verdana" w:eastAsia="Times New Roman" w:hAnsi="Verdana" w:cs="Arial"/>
          <w:kern w:val="0"/>
          <w:lang w:eastAsia="fr-FR"/>
          <w14:ligatures w14:val="none"/>
        </w:rPr>
        <w:t xml:space="preserve">, </w:t>
      </w:r>
      <w:r>
        <w:rPr>
          <w:rFonts w:ascii="Verdana" w:eastAsia="Times New Roman" w:hAnsi="Verdana" w:cs="Arial"/>
          <w:kern w:val="0"/>
          <w:lang w:eastAsia="fr-FR"/>
          <w14:ligatures w14:val="none"/>
        </w:rPr>
        <w:t>Chargée d’études sur les métiers, DARES</w:t>
      </w:r>
    </w:p>
    <w:p w:rsidR="00AD7DCA" w:rsidRPr="00C369EB" w:rsidRDefault="00AD7DCA" w:rsidP="00AD7DCA">
      <w:pPr>
        <w:numPr>
          <w:ilvl w:val="0"/>
          <w:numId w:val="1"/>
        </w:numPr>
        <w:spacing w:after="0" w:line="240" w:lineRule="auto"/>
        <w:contextualSpacing/>
        <w:rPr>
          <w:rFonts w:ascii="Verdana" w:eastAsia="Times New Roman" w:hAnsi="Verdana" w:cs="Arial"/>
          <w:kern w:val="0"/>
          <w:lang w:eastAsia="fr-FR"/>
          <w14:ligatures w14:val="none"/>
        </w:rPr>
      </w:pPr>
      <w:r>
        <w:rPr>
          <w:rFonts w:ascii="Verdana" w:eastAsia="Times New Roman" w:hAnsi="Verdana" w:cs="Times New Roman"/>
          <w:b/>
          <w:bCs/>
          <w:kern w:val="0"/>
          <w:lang w:eastAsia="fr-FR"/>
          <w14:ligatures w14:val="none"/>
        </w:rPr>
        <w:t>Hélène INSEL</w:t>
      </w:r>
      <w:r w:rsidRPr="00C369EB">
        <w:rPr>
          <w:rFonts w:ascii="Verdana" w:eastAsia="Times New Roman" w:hAnsi="Verdana" w:cs="Times New Roman"/>
          <w:kern w:val="0"/>
          <w:lang w:eastAsia="fr-FR"/>
          <w14:ligatures w14:val="none"/>
        </w:rPr>
        <w:t xml:space="preserve">, </w:t>
      </w:r>
      <w:r>
        <w:rPr>
          <w:rFonts w:ascii="Verdana" w:eastAsia="Times New Roman" w:hAnsi="Verdana" w:cs="Times New Roman"/>
          <w:kern w:val="0"/>
          <w:lang w:eastAsia="fr-FR"/>
          <w14:ligatures w14:val="none"/>
        </w:rPr>
        <w:t>Rectrice d’Académie, Grenoble</w:t>
      </w:r>
    </w:p>
    <w:p w:rsidR="00AD7DCA" w:rsidRPr="00C369EB" w:rsidRDefault="00AD7DCA" w:rsidP="00AD7DCA">
      <w:pPr>
        <w:numPr>
          <w:ilvl w:val="0"/>
          <w:numId w:val="1"/>
        </w:numPr>
        <w:spacing w:after="0" w:line="240" w:lineRule="auto"/>
        <w:contextualSpacing/>
        <w:rPr>
          <w:rFonts w:ascii="Verdana" w:eastAsia="Times New Roman" w:hAnsi="Verdana" w:cs="Arial"/>
          <w:kern w:val="0"/>
          <w:lang w:eastAsia="fr-FR"/>
          <w14:ligatures w14:val="none"/>
        </w:rPr>
      </w:pPr>
      <w:r>
        <w:rPr>
          <w:rFonts w:ascii="Verdana" w:eastAsia="Times New Roman" w:hAnsi="Verdana" w:cs="Times New Roman"/>
          <w:b/>
          <w:bCs/>
          <w:kern w:val="0"/>
          <w:lang w:eastAsia="fr-FR"/>
          <w14:ligatures w14:val="none"/>
        </w:rPr>
        <w:t xml:space="preserve">Julien VALLETTE VIALLARD, </w:t>
      </w:r>
      <w:r w:rsidRPr="00E351D5">
        <w:rPr>
          <w:rFonts w:ascii="Verdana" w:eastAsia="Times New Roman" w:hAnsi="Verdana" w:cs="Times New Roman"/>
          <w:kern w:val="0"/>
          <w:lang w:eastAsia="fr-FR"/>
          <w14:ligatures w14:val="none"/>
        </w:rPr>
        <w:t>Directeur des ressources humaines,</w:t>
      </w:r>
      <w:r>
        <w:rPr>
          <w:rFonts w:ascii="Verdana" w:eastAsia="Times New Roman" w:hAnsi="Verdana" w:cs="Times New Roman"/>
          <w:kern w:val="0"/>
          <w:lang w:eastAsia="fr-FR"/>
          <w14:ligatures w14:val="none"/>
        </w:rPr>
        <w:t xml:space="preserve"> Innovations technologiques avancées et digital,</w:t>
      </w:r>
      <w:r w:rsidRPr="00E351D5">
        <w:rPr>
          <w:rFonts w:ascii="Verdana" w:eastAsia="Times New Roman" w:hAnsi="Verdana" w:cs="Times New Roman"/>
          <w:kern w:val="0"/>
          <w:lang w:eastAsia="fr-FR"/>
          <w14:ligatures w14:val="none"/>
        </w:rPr>
        <w:t xml:space="preserve"> Air Liquide</w:t>
      </w:r>
    </w:p>
    <w:p w:rsidR="00AD7DCA" w:rsidRPr="00C369EB" w:rsidRDefault="00AD7DCA" w:rsidP="00AD7DCA">
      <w:pPr>
        <w:spacing w:after="0" w:line="240" w:lineRule="auto"/>
        <w:ind w:left="720"/>
        <w:contextualSpacing/>
        <w:rPr>
          <w:rFonts w:ascii="Verdana" w:eastAsia="Times New Roman" w:hAnsi="Verdana" w:cs="Arial"/>
          <w:kern w:val="0"/>
          <w:lang w:eastAsia="fr-FR"/>
          <w14:ligatures w14:val="none"/>
        </w:rPr>
      </w:pPr>
    </w:p>
    <w:p w:rsidR="00AD7DCA" w:rsidRPr="00C369EB" w:rsidRDefault="00AD7DCA" w:rsidP="00AD7DCA">
      <w:pPr>
        <w:spacing w:after="0" w:line="240" w:lineRule="auto"/>
        <w:jc w:val="both"/>
        <w:rPr>
          <w:rFonts w:ascii="Verdana" w:eastAsia="Times New Roman" w:hAnsi="Verdana" w:cs="Times New Roman"/>
          <w:kern w:val="0"/>
          <w:lang w:eastAsia="fr-FR"/>
          <w14:ligatures w14:val="none"/>
        </w:rPr>
      </w:pPr>
      <w:r w:rsidRPr="00C369EB">
        <w:rPr>
          <w:rFonts w:ascii="Verdana" w:eastAsia="Times New Roman" w:hAnsi="Verdana" w:cs="Times New Roman"/>
          <w:kern w:val="0"/>
          <w:lang w:eastAsia="fr-FR"/>
          <w14:ligatures w14:val="none"/>
        </w:rPr>
        <w:t>Modérateurs :</w:t>
      </w:r>
    </w:p>
    <w:p w:rsidR="00AD7DCA" w:rsidRPr="00C369EB" w:rsidRDefault="00AD7DCA" w:rsidP="00AD7DCA">
      <w:pPr>
        <w:spacing w:after="0" w:line="240" w:lineRule="auto"/>
        <w:ind w:left="720"/>
        <w:contextualSpacing/>
        <w:jc w:val="both"/>
        <w:rPr>
          <w:rFonts w:ascii="Verdana" w:eastAsia="Times New Roman" w:hAnsi="Verdana" w:cs="Times New Roman"/>
          <w:kern w:val="0"/>
          <w:lang w:eastAsia="fr-FR"/>
          <w14:ligatures w14:val="none"/>
        </w:rPr>
      </w:pPr>
      <w:r>
        <w:rPr>
          <w:rFonts w:ascii="Verdana" w:eastAsia="Times New Roman" w:hAnsi="Verdana" w:cs="Times New Roman"/>
          <w:b/>
          <w:bCs/>
          <w:kern w:val="0"/>
          <w:lang w:eastAsia="fr-FR"/>
          <w14:ligatures w14:val="none"/>
        </w:rPr>
        <w:t xml:space="preserve">Christophe LAVIALLE, </w:t>
      </w:r>
      <w:r w:rsidRPr="00DD2D75">
        <w:rPr>
          <w:rStyle w:val="markedcontent"/>
          <w:rFonts w:ascii="Verdana" w:hAnsi="Verdana" w:cs="Arial"/>
        </w:rPr>
        <w:t>Inspect</w:t>
      </w:r>
      <w:r>
        <w:rPr>
          <w:rStyle w:val="markedcontent"/>
          <w:rFonts w:ascii="Verdana" w:hAnsi="Verdana" w:cs="Arial"/>
        </w:rPr>
        <w:t>eur</w:t>
      </w:r>
      <w:r w:rsidRPr="00DD2D75">
        <w:rPr>
          <w:rStyle w:val="markedcontent"/>
          <w:rFonts w:ascii="Verdana" w:hAnsi="Verdana" w:cs="Arial"/>
        </w:rPr>
        <w:t xml:space="preserve"> général de l’éducation nationale, du sport et de la recherche</w:t>
      </w:r>
      <w:r>
        <w:rPr>
          <w:rStyle w:val="markedcontent"/>
          <w:rFonts w:ascii="Verdana" w:hAnsi="Verdana" w:cs="Arial"/>
        </w:rPr>
        <w:t>, Doyen de l’Inspection Générale de SES</w:t>
      </w:r>
    </w:p>
    <w:p w:rsidR="00AD7DCA" w:rsidRPr="00C369EB" w:rsidRDefault="00AD7DCA" w:rsidP="00AD7DCA">
      <w:pPr>
        <w:spacing w:after="0" w:line="240" w:lineRule="auto"/>
        <w:ind w:left="720"/>
        <w:contextualSpacing/>
        <w:jc w:val="both"/>
        <w:rPr>
          <w:rFonts w:ascii="Verdana" w:eastAsia="Times New Roman" w:hAnsi="Verdana" w:cs="Times New Roman"/>
          <w:kern w:val="0"/>
          <w:lang w:eastAsia="fr-FR"/>
          <w14:ligatures w14:val="none"/>
        </w:rPr>
      </w:pPr>
    </w:p>
    <w:p w:rsidR="00AD7DCA" w:rsidRPr="00C369EB" w:rsidRDefault="00AD7DCA" w:rsidP="00AD7DCA">
      <w:pPr>
        <w:spacing w:after="0" w:line="240" w:lineRule="auto"/>
        <w:rPr>
          <w:rFonts w:ascii="Verdana" w:eastAsia="Times New Roman" w:hAnsi="Verdana" w:cs="Times New Roman"/>
          <w:kern w:val="0"/>
          <w:lang w:eastAsia="fr-FR"/>
          <w14:ligatures w14:val="none"/>
        </w:rPr>
      </w:pPr>
      <w:r w:rsidRPr="00C369EB">
        <w:rPr>
          <w:rFonts w:ascii="Verdana" w:eastAsia="Times New Roman" w:hAnsi="Verdana" w:cs="Times New Roman"/>
          <w:kern w:val="0"/>
          <w:lang w:eastAsia="fr-FR"/>
          <w14:ligatures w14:val="none"/>
        </w:rPr>
        <w:t xml:space="preserve">Compte-rendu réalisé par </w:t>
      </w:r>
      <w:r w:rsidRPr="00C369EB">
        <w:rPr>
          <w:rFonts w:ascii="Verdana" w:eastAsia="Times New Roman" w:hAnsi="Verdana" w:cs="Times New Roman"/>
          <w:b/>
          <w:kern w:val="0"/>
          <w:lang w:eastAsia="fr-FR"/>
          <w14:ligatures w14:val="none"/>
        </w:rPr>
        <w:t xml:space="preserve">Judith </w:t>
      </w:r>
      <w:proofErr w:type="spellStart"/>
      <w:r w:rsidRPr="00C369EB">
        <w:rPr>
          <w:rFonts w:ascii="Verdana" w:eastAsia="Times New Roman" w:hAnsi="Verdana" w:cs="Times New Roman"/>
          <w:b/>
          <w:kern w:val="0"/>
          <w:lang w:eastAsia="fr-FR"/>
          <w14:ligatures w14:val="none"/>
        </w:rPr>
        <w:t>Leverbe</w:t>
      </w:r>
      <w:proofErr w:type="spellEnd"/>
      <w:r w:rsidRPr="00C369EB">
        <w:rPr>
          <w:rFonts w:ascii="Verdana" w:eastAsia="Times New Roman" w:hAnsi="Verdana" w:cs="Times New Roman"/>
          <w:kern w:val="0"/>
          <w:lang w:eastAsia="fr-FR"/>
          <w14:ligatures w14:val="none"/>
        </w:rPr>
        <w:t>, professeure de SES (académie de Lille).</w:t>
      </w:r>
    </w:p>
    <w:p w:rsidR="00AD7DCA" w:rsidRPr="00C369EB" w:rsidRDefault="00AD7DCA" w:rsidP="00AD7DCA">
      <w:pPr>
        <w:spacing w:after="0" w:line="240" w:lineRule="auto"/>
        <w:jc w:val="both"/>
        <w:rPr>
          <w:rFonts w:ascii="Verdana" w:eastAsia="Times New Roman" w:hAnsi="Verdana" w:cs="Times New Roman"/>
          <w:color w:val="000000"/>
          <w:kern w:val="0"/>
          <w:sz w:val="20"/>
          <w:szCs w:val="20"/>
          <w:shd w:val="clear" w:color="auto" w:fill="FFFFFF"/>
          <w:lang w:eastAsia="fr-FR"/>
          <w14:ligatures w14:val="none"/>
        </w:rPr>
      </w:pPr>
    </w:p>
    <w:p w:rsidR="00AD7DCA" w:rsidRPr="00C369EB" w:rsidRDefault="00AD7DCA" w:rsidP="00AD7DC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kern w:val="0"/>
          <w:sz w:val="20"/>
          <w:szCs w:val="20"/>
          <w:highlight w:val="green"/>
          <w:shd w:val="clear" w:color="auto" w:fill="FFFFFF"/>
          <w:lang w:eastAsia="fr-FR"/>
          <w14:ligatures w14:val="none"/>
        </w:rPr>
      </w:pPr>
      <w:r w:rsidRPr="00C369EB">
        <w:rPr>
          <w:rFonts w:ascii="Verdana" w:eastAsia="Times New Roman" w:hAnsi="Verdana" w:cs="Times New Roman"/>
          <w:b/>
          <w:color w:val="000000"/>
          <w:kern w:val="0"/>
          <w:shd w:val="clear" w:color="auto" w:fill="FFFFFF"/>
          <w:lang w:eastAsia="fr-FR"/>
          <w14:ligatures w14:val="none"/>
        </w:rPr>
        <w:t>L</w:t>
      </w:r>
      <w:r>
        <w:rPr>
          <w:rFonts w:ascii="Verdana" w:eastAsia="Times New Roman" w:hAnsi="Verdana" w:cs="Times New Roman"/>
          <w:b/>
          <w:color w:val="000000"/>
          <w:kern w:val="0"/>
          <w:shd w:val="clear" w:color="auto" w:fill="FFFFFF"/>
          <w:lang w:eastAsia="fr-FR"/>
          <w14:ligatures w14:val="none"/>
        </w:rPr>
        <w:t>es métiers évoluant, du fait notamment de la transition digitale et environnementale, les compétences attendues des entreprises changent elles aussi. Du côté de la demande, ce sont des compétences plus que des qualifications qui sont aujourd’hui demandées. Les parcours de formation doivent donc nécessairement se transformer. Ces questions d’appariement sont posées le plus souvent au niveau national mais c’est au niveau territorial qu’elles prennent tout leur sens. Comment se déclinent les problèmes d’appariement au niveau des territoires ?</w:t>
      </w:r>
      <w:r w:rsidRPr="00C369EB">
        <w:rPr>
          <w:rFonts w:ascii="Verdana" w:eastAsia="Times New Roman" w:hAnsi="Verdana" w:cs="Times New Roman"/>
          <w:b/>
          <w:color w:val="000000"/>
          <w:kern w:val="0"/>
          <w:shd w:val="clear" w:color="auto" w:fill="FFFFFF"/>
          <w:lang w:eastAsia="fr-FR"/>
          <w14:ligatures w14:val="none"/>
        </w:rPr>
        <w:t xml:space="preserve"> </w:t>
      </w:r>
    </w:p>
    <w:p w:rsidR="00AD7DCA" w:rsidRPr="00C369EB"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r>
        <w:rPr>
          <w:rFonts w:ascii="Verdana" w:eastAsia="MS Mincho" w:hAnsi="Verdana" w:cs="Times New Roman"/>
          <w:b/>
          <w:bCs/>
          <w:caps/>
          <w:color w:val="EA1581"/>
          <w:kern w:val="0"/>
          <w:sz w:val="24"/>
          <w:szCs w:val="24"/>
          <w:lang w:eastAsia="fr-FR"/>
          <w14:ligatures w14:val="none"/>
        </w:rPr>
        <w:t>DeS REALITES TERRITORIALES HETEROGENES</w:t>
      </w:r>
    </w:p>
    <w:p w:rsidR="00AD7DCA" w:rsidRPr="00330A45"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r w:rsidRPr="003B73E4">
        <w:rPr>
          <w:rFonts w:ascii="Verdana" w:eastAsia="Times New Roman" w:hAnsi="Verdana" w:cstheme="minorHAnsi"/>
          <w:kern w:val="0"/>
          <w:sz w:val="24"/>
          <w:szCs w:val="24"/>
          <w:lang w:eastAsia="fr-FR"/>
          <w14:ligatures w14:val="none"/>
        </w:rPr>
        <w:t>La DARES (</w:t>
      </w:r>
      <w:r w:rsidRPr="003B73E4">
        <w:rPr>
          <w:rFonts w:ascii="Verdana" w:hAnsi="Verdana" w:cs="Arial"/>
          <w:sz w:val="24"/>
          <w:szCs w:val="24"/>
          <w:shd w:val="clear" w:color="auto" w:fill="FFFFFF"/>
        </w:rPr>
        <w:t>Direction de l'animation de la recherche, des études et des statistiques</w:t>
      </w:r>
      <w:r>
        <w:rPr>
          <w:rFonts w:ascii="Verdana" w:hAnsi="Verdana" w:cs="Arial"/>
          <w:sz w:val="24"/>
          <w:szCs w:val="24"/>
          <w:shd w:val="clear" w:color="auto" w:fill="FFFFFF"/>
        </w:rPr>
        <w:t xml:space="preserve">, service interne au Ministère du travail) </w:t>
      </w:r>
      <w:r w:rsidRPr="003B73E4">
        <w:rPr>
          <w:rFonts w:ascii="Verdana" w:eastAsia="Times New Roman" w:hAnsi="Verdana" w:cstheme="minorHAnsi"/>
          <w:kern w:val="0"/>
          <w:sz w:val="24"/>
          <w:szCs w:val="24"/>
          <w:lang w:eastAsia="fr-FR"/>
          <w14:ligatures w14:val="none"/>
        </w:rPr>
        <w:t xml:space="preserve">a évalué les besoins et les difficultés de recrutement à l’horizon 2030 </w:t>
      </w:r>
      <w:r>
        <w:rPr>
          <w:rFonts w:ascii="Verdana" w:eastAsia="Times New Roman" w:hAnsi="Verdana" w:cstheme="minorHAnsi"/>
          <w:kern w:val="0"/>
          <w:sz w:val="24"/>
          <w:szCs w:val="24"/>
          <w:lang w:eastAsia="fr-FR"/>
          <w14:ligatures w14:val="none"/>
        </w:rPr>
        <w:t>à la fois au niveau national (publication en mars 2022) et au niveau régional (mars 2023). Fondés sur des matrices de transition consistant à prolonger les tendances actuelles de 83 groupes de métiers, ces rapports montrent que la réalité présente et à venir n’est pas uniforme. Certaines régions connaîtront des créations nettes d’emplois là où d’autres devront subir des sorties nettes d’emplois. L’importance de cette dimension territoriale est également visible au niveau de grands groupes industriels. Ainsi, le groupe Air Liquide est un groupe présent dans 70 pays mais, compte tenu de l’activité très locale de fournisseur de gaz, son recrutement repose sur des acteurs territoriaux tels que des agences d’intérim ou Pôle emploi. Cette territorialité de l’emploi n’est bouleversée que dans le cadre des activités digitales qui concerne des salariés sans bureau et sans ancrage localisation spécifique.</w:t>
      </w: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r>
        <w:rPr>
          <w:rFonts w:ascii="Verdana" w:eastAsia="MS Mincho" w:hAnsi="Verdana" w:cs="Times New Roman"/>
          <w:b/>
          <w:bCs/>
          <w:caps/>
          <w:color w:val="EA1581"/>
          <w:kern w:val="0"/>
          <w:sz w:val="24"/>
          <w:szCs w:val="24"/>
          <w:lang w:eastAsia="fr-FR"/>
          <w14:ligatures w14:val="none"/>
        </w:rPr>
        <w:lastRenderedPageBreak/>
        <w:t>LA NECESSITE DE RESEAUX DE MAILLAGE TERRITORIAL</w:t>
      </w:r>
    </w:p>
    <w:p w:rsidR="00AD7DCA" w:rsidRPr="00330A45"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r>
        <w:rPr>
          <w:rFonts w:ascii="Verdana" w:eastAsia="Times New Roman" w:hAnsi="Verdana" w:cstheme="minorHAnsi"/>
          <w:kern w:val="0"/>
          <w:sz w:val="24"/>
          <w:szCs w:val="24"/>
          <w:lang w:eastAsia="fr-FR"/>
          <w14:ligatures w14:val="none"/>
        </w:rPr>
        <w:t xml:space="preserve">Si l’offre de formation relève d’une politique nationale, elle est aussi une réalité territoriale, sans pour autant devoir se placer dans une logique d’adéquation immédiate.  C’est la formation continue qui répond aux besoins ponctuels. L’offre de formation repose sur un diagnostic territorial qui combine différents intervenants : le système éducatif, les entreprises, la Région et des associations telles </w:t>
      </w:r>
      <w:r w:rsidRPr="00C24DC4">
        <w:rPr>
          <w:rFonts w:ascii="Verdana" w:eastAsia="Times New Roman" w:hAnsi="Verdana" w:cstheme="minorHAnsi"/>
          <w:kern w:val="0"/>
          <w:sz w:val="24"/>
          <w:szCs w:val="24"/>
          <w:lang w:eastAsia="fr-FR"/>
          <w14:ligatures w14:val="none"/>
        </w:rPr>
        <w:t>qu</w:t>
      </w:r>
      <w:r w:rsidRPr="00C24DC4">
        <w:rPr>
          <w:rFonts w:ascii="Verdana" w:eastAsia="Times New Roman" w:hAnsi="Verdana" w:cstheme="minorHAnsi"/>
          <w:i/>
          <w:iCs/>
          <w:kern w:val="0"/>
          <w:sz w:val="24"/>
          <w:szCs w:val="24"/>
          <w:lang w:eastAsia="fr-FR"/>
          <w14:ligatures w14:val="none"/>
        </w:rPr>
        <w:t>’Entreprendre pour apprendre</w:t>
      </w:r>
      <w:r>
        <w:rPr>
          <w:rFonts w:ascii="Verdana" w:eastAsia="Times New Roman" w:hAnsi="Verdana" w:cstheme="minorHAnsi"/>
          <w:kern w:val="0"/>
          <w:sz w:val="24"/>
          <w:szCs w:val="24"/>
          <w:lang w:eastAsia="fr-FR"/>
          <w14:ligatures w14:val="none"/>
        </w:rPr>
        <w:t xml:space="preserve">, association citée à plusieurs reprises lors de ces entretiens. Cette offre nécessite la construction de réseaux. Il en existe de plusieurs types au niveau des territoires : un réseau par filières porté par les Campus des métiers et des qualifications, des comités locaux au niveau des bassins d’emploi et aussi des réseaux pédagogiques construits par l’éducation nationale. Ces différents niveaux d’action permettent une certaine agilité de la carte de formation et un ciblage de l’attractivité de certaines filières de façon adaptée. </w:t>
      </w: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r>
        <w:rPr>
          <w:rFonts w:ascii="Verdana" w:eastAsia="MS Mincho" w:hAnsi="Verdana" w:cs="Times New Roman"/>
          <w:b/>
          <w:bCs/>
          <w:caps/>
          <w:color w:val="EA1581"/>
          <w:kern w:val="0"/>
          <w:sz w:val="24"/>
          <w:szCs w:val="24"/>
          <w:lang w:eastAsia="fr-FR"/>
          <w14:ligatures w14:val="none"/>
        </w:rPr>
        <w:t>Du TERRitoire a la mobilité individuelle</w:t>
      </w:r>
    </w:p>
    <w:p w:rsidR="00AD7DCA" w:rsidRDefault="00AD7DCA" w:rsidP="00AD7DCA">
      <w:pPr>
        <w:spacing w:after="0" w:line="240" w:lineRule="auto"/>
        <w:contextualSpacing/>
        <w:jc w:val="both"/>
        <w:rPr>
          <w:rFonts w:ascii="Verdana" w:eastAsia="Times New Roman" w:hAnsi="Verdana" w:cstheme="minorHAnsi"/>
          <w:kern w:val="0"/>
          <w:sz w:val="24"/>
          <w:szCs w:val="24"/>
          <w:lang w:eastAsia="fr-FR"/>
          <w14:ligatures w14:val="none"/>
        </w:rPr>
      </w:pPr>
      <w:r>
        <w:rPr>
          <w:rFonts w:ascii="Verdana" w:eastAsia="Times New Roman" w:hAnsi="Verdana" w:cstheme="minorHAnsi"/>
          <w:kern w:val="0"/>
          <w:sz w:val="24"/>
          <w:szCs w:val="24"/>
          <w:lang w:eastAsia="fr-FR"/>
          <w14:ligatures w14:val="none"/>
        </w:rPr>
        <w:t>L’un des enjeux des acteurs de la formation est de favoriser la mobilité géographique et, au-delà la curiosité des jeunes. Bousculer les choix, développer la capacité à se projeter, véritable compétence, ouvrir le champ des possibles constituent des objectifs de nombreux dispositifs qui, de façon directe ou indirecte, visent à faire en sorte que les choix d’orientation ne soient pas seulement des choix de proximité. La mobilité internationale dans le cadre d’un programme tel qu’Erasmus+ entre pleinement dans cette logique de développement de compétences.</w:t>
      </w:r>
    </w:p>
    <w:p w:rsidR="00AD7DCA" w:rsidRDefault="00AD7DCA" w:rsidP="00AD7DCA">
      <w:pPr>
        <w:spacing w:after="0" w:line="240" w:lineRule="auto"/>
        <w:contextualSpacing/>
        <w:rPr>
          <w:rFonts w:ascii="Verdana" w:eastAsia="Times New Roman" w:hAnsi="Verdana" w:cstheme="minorHAnsi"/>
          <w:kern w:val="0"/>
          <w:sz w:val="24"/>
          <w:szCs w:val="24"/>
          <w:lang w:eastAsia="fr-FR"/>
          <w14:ligatures w14:val="none"/>
        </w:rPr>
      </w:pP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p>
    <w:p w:rsidR="00AD7DCA" w:rsidRDefault="00AD7DCA" w:rsidP="00AD7DCA">
      <w:pPr>
        <w:spacing w:after="0" w:line="240" w:lineRule="auto"/>
        <w:jc w:val="both"/>
        <w:rPr>
          <w:rFonts w:ascii="Verdana" w:eastAsia="MS Mincho" w:hAnsi="Verdana" w:cs="Times New Roman"/>
          <w:b/>
          <w:bCs/>
          <w:caps/>
          <w:color w:val="EA1581"/>
          <w:kern w:val="0"/>
          <w:sz w:val="24"/>
          <w:szCs w:val="24"/>
          <w:lang w:eastAsia="fr-FR"/>
          <w14:ligatures w14:val="none"/>
        </w:rPr>
      </w:pPr>
      <w:r>
        <w:rPr>
          <w:rFonts w:ascii="Verdana" w:eastAsia="MS Mincho" w:hAnsi="Verdana" w:cs="Times New Roman"/>
          <w:b/>
          <w:bCs/>
          <w:caps/>
          <w:color w:val="EA1581"/>
          <w:kern w:val="0"/>
          <w:sz w:val="24"/>
          <w:szCs w:val="24"/>
          <w:lang w:eastAsia="fr-FR"/>
          <w14:ligatures w14:val="none"/>
        </w:rPr>
        <w:t>RETRAVAILLER LES REPERTOIRES DE DEFINITION DES METIERS</w:t>
      </w:r>
    </w:p>
    <w:p w:rsidR="00AD7DCA" w:rsidRPr="00931397" w:rsidRDefault="00AD7DCA" w:rsidP="00AD7DCA">
      <w:pPr>
        <w:spacing w:after="0" w:line="240" w:lineRule="auto"/>
        <w:contextualSpacing/>
        <w:jc w:val="both"/>
        <w:rPr>
          <w:rFonts w:ascii="Verdana" w:eastAsia="Times New Roman" w:hAnsi="Verdana" w:cstheme="minorHAnsi"/>
          <w:kern w:val="0"/>
          <w:sz w:val="24"/>
          <w:szCs w:val="24"/>
          <w:lang w:eastAsia="fr-FR"/>
          <w14:ligatures w14:val="none"/>
        </w:rPr>
      </w:pPr>
      <w:r>
        <w:rPr>
          <w:rFonts w:ascii="Verdana" w:eastAsia="Times New Roman" w:hAnsi="Verdana" w:cstheme="minorHAnsi"/>
          <w:kern w:val="0"/>
          <w:sz w:val="24"/>
          <w:szCs w:val="24"/>
          <w:lang w:eastAsia="fr-FR"/>
          <w14:ligatures w14:val="none"/>
        </w:rPr>
        <w:t>L’un des piliers nécessaires à l’orientation est un consensus sur la définition des compétences utiles et la mise en place d’une culture commune. Pôle Emploi s’est attelé à un vaste travail, nommé ROME4.0, consistant en une clarification de ce « bien commun » qu’est l’information transparente sur les emplois et les compétences attendues. En élaborant un « </w:t>
      </w:r>
      <w:proofErr w:type="spellStart"/>
      <w:r>
        <w:rPr>
          <w:rFonts w:ascii="Verdana" w:eastAsia="Times New Roman" w:hAnsi="Verdana" w:cstheme="minorHAnsi"/>
          <w:kern w:val="0"/>
          <w:sz w:val="24"/>
          <w:szCs w:val="24"/>
          <w:lang w:eastAsia="fr-FR"/>
          <w14:ligatures w14:val="none"/>
        </w:rPr>
        <w:t>métierscope</w:t>
      </w:r>
      <w:proofErr w:type="spellEnd"/>
      <w:r>
        <w:rPr>
          <w:rFonts w:ascii="Verdana" w:eastAsia="Times New Roman" w:hAnsi="Verdana" w:cstheme="minorHAnsi"/>
          <w:kern w:val="0"/>
          <w:sz w:val="24"/>
          <w:szCs w:val="24"/>
          <w:lang w:eastAsia="fr-FR"/>
          <w14:ligatures w14:val="none"/>
        </w:rPr>
        <w:t> », le projet vise à favoriser l’accès à l’information et la juste évaluation des compétences transverses intégrées dans les emplois. Ce sont 3000 fiches métiers qui sont en voie d’élaboration.</w:t>
      </w:r>
    </w:p>
    <w:p w:rsidR="00F30C2D" w:rsidRDefault="00F30C2D"/>
    <w:sectPr w:rsidR="00F30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603FF"/>
    <w:multiLevelType w:val="hybridMultilevel"/>
    <w:tmpl w:val="12FEEA88"/>
    <w:lvl w:ilvl="0" w:tplc="222C33E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6508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CA"/>
    <w:rsid w:val="00AD7DCA"/>
    <w:rsid w:val="00C7523D"/>
    <w:rsid w:val="00F30C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DA8F1-B39B-45BA-9CFF-A0F58E44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AD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3916</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 </cp:lastModifiedBy>
  <cp:revision>1</cp:revision>
  <dcterms:created xsi:type="dcterms:W3CDTF">2023-05-11T18:06:00Z</dcterms:created>
  <dcterms:modified xsi:type="dcterms:W3CDTF">2023-05-11T18:06:00Z</dcterms:modified>
</cp:coreProperties>
</file>